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C4" w:rsidRDefault="008E4F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4FC4" w:rsidRDefault="008E4F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4F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4FC4" w:rsidRDefault="008E4FC4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4FC4" w:rsidRDefault="008E4FC4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8E4FC4" w:rsidRDefault="008E4F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4FC4" w:rsidRDefault="008E4FC4">
      <w:pPr>
        <w:pStyle w:val="ConsPlusNormal"/>
        <w:jc w:val="center"/>
      </w:pPr>
    </w:p>
    <w:p w:rsidR="008E4FC4" w:rsidRDefault="008E4FC4">
      <w:pPr>
        <w:pStyle w:val="ConsPlusTitle"/>
        <w:jc w:val="center"/>
      </w:pPr>
      <w:r>
        <w:t>УКАЗ</w:t>
      </w:r>
    </w:p>
    <w:p w:rsidR="008E4FC4" w:rsidRDefault="008E4FC4">
      <w:pPr>
        <w:pStyle w:val="ConsPlusTitle"/>
        <w:jc w:val="center"/>
      </w:pPr>
    </w:p>
    <w:p w:rsidR="008E4FC4" w:rsidRDefault="008E4FC4">
      <w:pPr>
        <w:pStyle w:val="ConsPlusTitle"/>
        <w:jc w:val="center"/>
      </w:pPr>
      <w:r>
        <w:t>ПРЕЗИДЕНТА РОССИЙСКОЙ ФЕДЕРАЦИИ</w:t>
      </w:r>
    </w:p>
    <w:p w:rsidR="008E4FC4" w:rsidRDefault="008E4FC4">
      <w:pPr>
        <w:pStyle w:val="ConsPlusTitle"/>
        <w:jc w:val="center"/>
      </w:pPr>
    </w:p>
    <w:p w:rsidR="008E4FC4" w:rsidRDefault="008E4FC4">
      <w:pPr>
        <w:pStyle w:val="ConsPlusTitle"/>
        <w:jc w:val="center"/>
      </w:pPr>
      <w:r>
        <w:t>О НАЦИОНАЛЬНОЙ СТРАТЕГИИ</w:t>
      </w:r>
    </w:p>
    <w:p w:rsidR="008E4FC4" w:rsidRDefault="008E4FC4">
      <w:pPr>
        <w:pStyle w:val="ConsPlusTitle"/>
        <w:jc w:val="center"/>
      </w:pPr>
      <w:r>
        <w:t>ПРОТИВОДЕЙСТВИЯ КОРРУПЦИИ И НАЦИОНАЛЬНОМ ПЛАНЕ</w:t>
      </w:r>
    </w:p>
    <w:p w:rsidR="008E4FC4" w:rsidRDefault="008E4FC4">
      <w:pPr>
        <w:pStyle w:val="ConsPlusTitle"/>
        <w:jc w:val="center"/>
      </w:pPr>
      <w:r>
        <w:t>ПРОТИВОДЕЙСТВИЯ КОРРУПЦИИ НА 2010 - 2011 ГОДЫ</w:t>
      </w:r>
    </w:p>
    <w:p w:rsidR="008E4FC4" w:rsidRDefault="008E4F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4F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FC4" w:rsidRDefault="008E4F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FC4" w:rsidRDefault="008E4F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</w:tr>
    </w:tbl>
    <w:p w:rsidR="008E4FC4" w:rsidRDefault="008E4FC4">
      <w:pPr>
        <w:pStyle w:val="ConsPlusNormal"/>
        <w:jc w:val="center"/>
      </w:pPr>
    </w:p>
    <w:p w:rsidR="008E4FC4" w:rsidRDefault="008E4FC4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8E4FC4" w:rsidRDefault="008E4FC4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lastRenderedPageBreak/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jc w:val="right"/>
      </w:pPr>
      <w:r>
        <w:t>Президент</w:t>
      </w:r>
    </w:p>
    <w:p w:rsidR="008E4FC4" w:rsidRDefault="008E4FC4">
      <w:pPr>
        <w:pStyle w:val="ConsPlusNormal"/>
        <w:jc w:val="right"/>
      </w:pPr>
      <w:r>
        <w:t>Российской Федерации</w:t>
      </w:r>
    </w:p>
    <w:p w:rsidR="008E4FC4" w:rsidRDefault="008E4FC4">
      <w:pPr>
        <w:pStyle w:val="ConsPlusNormal"/>
        <w:jc w:val="right"/>
      </w:pPr>
      <w:r>
        <w:t>Д.МЕДВЕДЕВ</w:t>
      </w:r>
    </w:p>
    <w:p w:rsidR="008E4FC4" w:rsidRDefault="008E4FC4">
      <w:pPr>
        <w:pStyle w:val="ConsPlusNormal"/>
      </w:pPr>
      <w:r>
        <w:t>Москва, Кремль</w:t>
      </w:r>
    </w:p>
    <w:p w:rsidR="008E4FC4" w:rsidRDefault="008E4FC4">
      <w:pPr>
        <w:pStyle w:val="ConsPlusNormal"/>
        <w:spacing w:before="220"/>
      </w:pPr>
      <w:r>
        <w:t>13 апреля 2010 года</w:t>
      </w:r>
    </w:p>
    <w:p w:rsidR="008E4FC4" w:rsidRDefault="008E4FC4">
      <w:pPr>
        <w:pStyle w:val="ConsPlusNormal"/>
        <w:spacing w:before="220"/>
      </w:pPr>
      <w:r>
        <w:t>N 460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jc w:val="right"/>
        <w:outlineLvl w:val="0"/>
      </w:pPr>
      <w:r>
        <w:t>Утверждена</w:t>
      </w:r>
    </w:p>
    <w:p w:rsidR="008E4FC4" w:rsidRDefault="008E4FC4">
      <w:pPr>
        <w:pStyle w:val="ConsPlusNormal"/>
        <w:jc w:val="right"/>
      </w:pPr>
      <w:r>
        <w:t>Указом Президента</w:t>
      </w:r>
    </w:p>
    <w:p w:rsidR="008E4FC4" w:rsidRDefault="008E4FC4">
      <w:pPr>
        <w:pStyle w:val="ConsPlusNormal"/>
        <w:jc w:val="right"/>
      </w:pPr>
      <w:r>
        <w:t>Российской Федерации</w:t>
      </w:r>
    </w:p>
    <w:p w:rsidR="008E4FC4" w:rsidRDefault="008E4FC4">
      <w:pPr>
        <w:pStyle w:val="ConsPlusNormal"/>
        <w:jc w:val="right"/>
      </w:pPr>
      <w:r>
        <w:t>от 13 апреля 2010 г. N 460</w:t>
      </w:r>
    </w:p>
    <w:p w:rsidR="008E4FC4" w:rsidRDefault="008E4FC4">
      <w:pPr>
        <w:pStyle w:val="ConsPlusNormal"/>
        <w:jc w:val="center"/>
      </w:pPr>
    </w:p>
    <w:p w:rsidR="008E4FC4" w:rsidRDefault="008E4FC4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8E4FC4" w:rsidRDefault="008E4FC4">
      <w:pPr>
        <w:pStyle w:val="ConsPlusNormal"/>
        <w:jc w:val="center"/>
      </w:pPr>
    </w:p>
    <w:p w:rsidR="008E4FC4" w:rsidRDefault="008E4FC4">
      <w:pPr>
        <w:pStyle w:val="ConsPlusNormal"/>
        <w:jc w:val="center"/>
        <w:outlineLvl w:val="1"/>
      </w:pPr>
      <w:r>
        <w:t>I. Общие положения</w:t>
      </w:r>
    </w:p>
    <w:p w:rsidR="008E4FC4" w:rsidRDefault="008E4FC4">
      <w:pPr>
        <w:pStyle w:val="ConsPlusNormal"/>
        <w:jc w:val="center"/>
      </w:pPr>
    </w:p>
    <w:p w:rsidR="008E4FC4" w:rsidRDefault="008E4FC4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</w:t>
      </w:r>
      <w:proofErr w:type="gramStart"/>
      <w:r>
        <w:t>приняты соответствующие организационные меры по предупреждению коррупции и активизирована</w:t>
      </w:r>
      <w:proofErr w:type="gramEnd"/>
      <w:r>
        <w:t xml:space="preserve"> деятельность правоохранительных органов по борьбе с ней.</w:t>
      </w:r>
    </w:p>
    <w:p w:rsidR="008E4FC4" w:rsidRDefault="008E4FC4">
      <w:pPr>
        <w:pStyle w:val="ConsPlusNormal"/>
        <w:spacing w:before="220"/>
        <w:ind w:firstLine="540"/>
        <w:jc w:val="both"/>
      </w:pPr>
      <w:proofErr w:type="gramStart"/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1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2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4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5" w:history="1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jc w:val="center"/>
        <w:outlineLvl w:val="1"/>
      </w:pPr>
      <w:r>
        <w:t>II. Цель и задачи</w:t>
      </w:r>
    </w:p>
    <w:p w:rsidR="008E4FC4" w:rsidRDefault="008E4FC4">
      <w:pPr>
        <w:pStyle w:val="ConsPlusNormal"/>
        <w:jc w:val="center"/>
      </w:pPr>
      <w:r>
        <w:t>Национальной стратегии противодействия коррупции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jc w:val="center"/>
        <w:outlineLvl w:val="1"/>
      </w:pPr>
      <w:r>
        <w:t>III. Основные принципы</w:t>
      </w:r>
    </w:p>
    <w:p w:rsidR="008E4FC4" w:rsidRDefault="008E4FC4">
      <w:pPr>
        <w:pStyle w:val="ConsPlusNormal"/>
        <w:jc w:val="center"/>
      </w:pPr>
      <w:r>
        <w:t>Национальной стратегии противодействия коррупции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8E4FC4" w:rsidRDefault="008E4FC4">
      <w:pPr>
        <w:pStyle w:val="ConsPlusNormal"/>
        <w:jc w:val="center"/>
      </w:pPr>
      <w:r>
        <w:t>Национальной стратегии противодействия коррупции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8E4FC4" w:rsidRDefault="008E4FC4">
      <w:pPr>
        <w:pStyle w:val="ConsPlusNormal"/>
        <w:spacing w:before="220"/>
        <w:ind w:firstLine="540"/>
        <w:jc w:val="both"/>
      </w:pPr>
      <w:proofErr w:type="gramStart"/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8E4FC4" w:rsidRDefault="008E4FC4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jc w:val="center"/>
        <w:outlineLvl w:val="1"/>
      </w:pPr>
      <w:r>
        <w:t>V. Механизм реализации</w:t>
      </w:r>
    </w:p>
    <w:p w:rsidR="008E4FC4" w:rsidRDefault="008E4FC4">
      <w:pPr>
        <w:pStyle w:val="ConsPlusNormal"/>
        <w:jc w:val="center"/>
      </w:pPr>
      <w:r>
        <w:t>Национальной стратегии противодействия коррупции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 xml:space="preserve">д)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7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8E4FC4" w:rsidRDefault="008E4FC4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jc w:val="right"/>
        <w:outlineLvl w:val="0"/>
      </w:pPr>
      <w:r>
        <w:t>Утвержден</w:t>
      </w:r>
    </w:p>
    <w:p w:rsidR="008E4FC4" w:rsidRDefault="008E4FC4">
      <w:pPr>
        <w:pStyle w:val="ConsPlusNormal"/>
        <w:jc w:val="right"/>
      </w:pPr>
      <w:r>
        <w:t>Президентом</w:t>
      </w:r>
    </w:p>
    <w:p w:rsidR="008E4FC4" w:rsidRDefault="008E4FC4">
      <w:pPr>
        <w:pStyle w:val="ConsPlusNormal"/>
        <w:jc w:val="right"/>
      </w:pPr>
      <w:r>
        <w:t>Российской Федерации</w:t>
      </w:r>
    </w:p>
    <w:p w:rsidR="008E4FC4" w:rsidRDefault="008E4FC4">
      <w:pPr>
        <w:pStyle w:val="ConsPlusNormal"/>
        <w:jc w:val="right"/>
      </w:pPr>
      <w:r>
        <w:t>31 июля 2008 г. N Пр-1568</w:t>
      </w:r>
    </w:p>
    <w:p w:rsidR="008E4FC4" w:rsidRDefault="008E4FC4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8E4FC4" w:rsidRDefault="008E4FC4">
      <w:pPr>
        <w:pStyle w:val="ConsPlusNormal"/>
        <w:jc w:val="right"/>
      </w:pPr>
      <w:r>
        <w:t>Российской Федерации</w:t>
      </w:r>
    </w:p>
    <w:p w:rsidR="008E4FC4" w:rsidRDefault="008E4FC4">
      <w:pPr>
        <w:pStyle w:val="ConsPlusNormal"/>
        <w:jc w:val="right"/>
      </w:pPr>
      <w:r>
        <w:t>от 13 апреля 2010 г. N 460)</w:t>
      </w:r>
    </w:p>
    <w:p w:rsidR="008E4FC4" w:rsidRDefault="008E4FC4">
      <w:pPr>
        <w:pStyle w:val="ConsPlusNormal"/>
        <w:jc w:val="right"/>
      </w:pPr>
    </w:p>
    <w:p w:rsidR="008E4FC4" w:rsidRDefault="008E4FC4">
      <w:pPr>
        <w:pStyle w:val="ConsPlusTitle"/>
        <w:jc w:val="center"/>
      </w:pPr>
      <w:bookmarkStart w:id="2" w:name="P130"/>
      <w:bookmarkEnd w:id="2"/>
      <w:r>
        <w:t>НАЦИОНАЛЬНЫЙ ПЛАН</w:t>
      </w:r>
    </w:p>
    <w:p w:rsidR="008E4FC4" w:rsidRDefault="008E4FC4">
      <w:pPr>
        <w:pStyle w:val="ConsPlusTitle"/>
        <w:jc w:val="center"/>
      </w:pPr>
      <w:r>
        <w:t>ПРОТИВОДЕЙСТВИЯ КОРРУПЦИИ НА 2010 - 2011 ГОДЫ</w:t>
      </w:r>
    </w:p>
    <w:p w:rsidR="008E4FC4" w:rsidRDefault="008E4FC4">
      <w:pPr>
        <w:pStyle w:val="ConsPlusNormal"/>
        <w:jc w:val="center"/>
      </w:pPr>
    </w:p>
    <w:p w:rsidR="008E4FC4" w:rsidRDefault="008E4FC4">
      <w:pPr>
        <w:pStyle w:val="ConsPlusNormal"/>
        <w:ind w:firstLine="540"/>
        <w:jc w:val="both"/>
      </w:pPr>
      <w:r>
        <w:t xml:space="preserve">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ind w:firstLine="540"/>
        <w:jc w:val="both"/>
      </w:pPr>
    </w:p>
    <w:p w:rsidR="008E4FC4" w:rsidRDefault="008E4F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8E4FC4">
      <w:bookmarkStart w:id="3" w:name="_GoBack"/>
      <w:bookmarkEnd w:id="3"/>
    </w:p>
    <w:sectPr w:rsidR="002A16D5" w:rsidSect="00BC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C4"/>
    <w:rsid w:val="0007693B"/>
    <w:rsid w:val="00204CE5"/>
    <w:rsid w:val="002835DD"/>
    <w:rsid w:val="003170EC"/>
    <w:rsid w:val="00371B9C"/>
    <w:rsid w:val="004C58A6"/>
    <w:rsid w:val="008E4FC4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FC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E4FC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E4FC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7E8F2267F15DB9E4C9CEF79656906E1D837FAFAC759D596128AE5734975D0B64BB64DB561C261C3F03E2E2E76E29DCA2074622ADB58338r5zCJ" TargetMode="External"/><Relationship Id="rId13" Type="http://schemas.openxmlformats.org/officeDocument/2006/relationships/hyperlink" Target="consultantplus://offline/ref=687E8F2267F15DB9E4C9CEF79656906E1D8276AFA0709D596128AE5734975D0B76BB3CD7541D381E3916B4B3A1r3zAJ" TargetMode="External"/><Relationship Id="rId18" Type="http://schemas.openxmlformats.org/officeDocument/2006/relationships/hyperlink" Target="consultantplus://offline/ref=687E8F2267F15DB9E4C9CEF79656906E1D8474ACA2749D596128AE5734975D0B64BB64DB561C26163403E2E2E76E29DCA2074622ADB58338r5z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7E8F2267F15DB9E4C9CEF79656906E1D8474ACA2749D596128AE5734975D0B64BB64DB561C26163403E2E2E76E29DCA2074622ADB58338r5zCJ" TargetMode="External"/><Relationship Id="rId12" Type="http://schemas.openxmlformats.org/officeDocument/2006/relationships/hyperlink" Target="consultantplus://offline/ref=687E8F2267F15DB9E4C9CEF79656906E1D8276ABA0749D596128AE5734975D0B76BB3CD7541D381E3916B4B3A1r3zAJ" TargetMode="External"/><Relationship Id="rId17" Type="http://schemas.openxmlformats.org/officeDocument/2006/relationships/hyperlink" Target="consultantplus://offline/ref=687E8F2267F15DB9E4C9CEF79656906E1F8076A9A1769D596128AE5734975D0B64BB64DB561C261C3403E2E2E76E29DCA2074622ADB58338r5z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7E8F2267F15DB9E4C9CEF79656906E1F857FA2A67D9D596128AE5734975D0B76BB3CD7541D381E3916B4B3A1r3zA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7E8F2267F15DB9E4C9CEF79656906E1F857FA2A67D9D596128AE5734975D0B64BB64DB561C261D3403E2E2E76E29DCA2074622ADB58338r5zCJ" TargetMode="External"/><Relationship Id="rId11" Type="http://schemas.openxmlformats.org/officeDocument/2006/relationships/hyperlink" Target="consultantplus://offline/ref=687E8F2267F15DB9E4C9CEF79656906E1D807EA9AC759D596128AE5734975D0B76BB3CD7541D381E3916B4B3A1r3zAJ" TargetMode="External"/><Relationship Id="rId5" Type="http://schemas.openxmlformats.org/officeDocument/2006/relationships/hyperlink" Target="consultantplus://offline/ref=687E8F2267F15DB9E4C9CEF79656906E1D8474ACA2749D596128AE5734975D0B64BB64DB561C26163403E2E2E76E29DCA2074622ADB58338r5zCJ" TargetMode="External"/><Relationship Id="rId15" Type="http://schemas.openxmlformats.org/officeDocument/2006/relationships/hyperlink" Target="consultantplus://offline/ref=687E8F2267F15DB9E4C9CEF79656906E1D8277A2A4719D596128AE5734975D0B76BB3CD7541D381E3916B4B3A1r3zAJ" TargetMode="External"/><Relationship Id="rId10" Type="http://schemas.openxmlformats.org/officeDocument/2006/relationships/hyperlink" Target="consultantplus://offline/ref=687E8F2267F15DB9E4C9CEF79656906E1F857FA2A67D9D596128AE5734975D0B76BB3CD7541D381E3916B4B3A1r3zA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7E8F2267F15DB9E4C9CEF79656906E1D807EA9AC759D596128AE5734975D0B64BB64DB561C271A3A03E2E2E76E29DCA2074622ADB58338r5zCJ" TargetMode="External"/><Relationship Id="rId14" Type="http://schemas.openxmlformats.org/officeDocument/2006/relationships/hyperlink" Target="consultantplus://offline/ref=687E8F2267F15DB9E4C9CEF79656906E1F8076A9A1769D596128AE5734975D0B64BB64DB561C261C3403E2E2E76E29DCA2074622ADB58338r5z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2707</Words>
  <Characters>15435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Утверждена</vt:lpstr>
      <vt:lpstr>    I. Общие положения</vt:lpstr>
      <vt:lpstr>    II. Цель и задачи</vt:lpstr>
      <vt:lpstr>    III. Основные принципы</vt:lpstr>
      <vt:lpstr>    IV. Основные направления реализации</vt:lpstr>
      <vt:lpstr>    V. Механизм реализации</vt:lpstr>
      <vt:lpstr>Утвержден</vt:lpstr>
    </vt:vector>
  </TitlesOfParts>
  <Company>Администрация Липецкой области</Company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2021-04-21T09:51:00Z</dcterms:created>
  <dcterms:modified xsi:type="dcterms:W3CDTF">2021-04-21T09:51:00Z</dcterms:modified>
</cp:coreProperties>
</file>